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0" w:type="dxa"/>
        <w:jc w:val="center"/>
        <w:tblCellMar>
          <w:left w:w="0" w:type="dxa"/>
          <w:right w:w="0" w:type="dxa"/>
        </w:tblCellMar>
        <w:tblLook w:val="04A0" w:firstRow="1" w:lastRow="0" w:firstColumn="1" w:lastColumn="0" w:noHBand="0" w:noVBand="1"/>
      </w:tblPr>
      <w:tblGrid>
        <w:gridCol w:w="10200"/>
      </w:tblGrid>
      <w:tr w:rsidR="00D10AAD" w14:paraId="262722F7" w14:textId="77777777" w:rsidTr="00D10AAD">
        <w:trPr>
          <w:jc w:val="center"/>
        </w:trPr>
        <w:tc>
          <w:tcPr>
            <w:tcW w:w="0" w:type="auto"/>
            <w:vAlign w:val="center"/>
          </w:tcPr>
          <w:tbl>
            <w:tblPr>
              <w:tblW w:w="10200" w:type="dxa"/>
              <w:jc w:val="center"/>
              <w:tblCellMar>
                <w:left w:w="0" w:type="dxa"/>
                <w:right w:w="0" w:type="dxa"/>
              </w:tblCellMar>
              <w:tblLook w:val="04A0" w:firstRow="1" w:lastRow="0" w:firstColumn="1" w:lastColumn="0" w:noHBand="0" w:noVBand="1"/>
            </w:tblPr>
            <w:tblGrid>
              <w:gridCol w:w="10200"/>
            </w:tblGrid>
            <w:tr w:rsidR="00D10AAD" w14:paraId="7EA161EB" w14:textId="77777777">
              <w:trPr>
                <w:jc w:val="center"/>
              </w:trPr>
              <w:tc>
                <w:tcPr>
                  <w:tcW w:w="0" w:type="auto"/>
                  <w:vAlign w:val="center"/>
                  <w:hideMark/>
                </w:tcPr>
                <w:p w14:paraId="770B113E" w14:textId="77777777" w:rsidR="00D10AAD" w:rsidRDefault="00D10AAD"/>
              </w:tc>
            </w:tr>
          </w:tbl>
          <w:p w14:paraId="103671E1" w14:textId="77777777" w:rsidR="00D10AAD" w:rsidRDefault="00D10AAD">
            <w:pPr>
              <w:rPr>
                <w:rFonts w:eastAsia="Times New Roman"/>
                <w:vanish/>
              </w:rPr>
            </w:pPr>
          </w:p>
          <w:tbl>
            <w:tblPr>
              <w:tblW w:w="10200" w:type="dxa"/>
              <w:jc w:val="center"/>
              <w:tblCellMar>
                <w:left w:w="0" w:type="dxa"/>
                <w:right w:w="0" w:type="dxa"/>
              </w:tblCellMar>
              <w:tblLook w:val="04A0" w:firstRow="1" w:lastRow="0" w:firstColumn="1" w:lastColumn="0" w:noHBand="0" w:noVBand="1"/>
            </w:tblPr>
            <w:tblGrid>
              <w:gridCol w:w="10200"/>
            </w:tblGrid>
            <w:tr w:rsidR="00D10AAD" w14:paraId="0F67EB3C" w14:textId="77777777">
              <w:trPr>
                <w:jc w:val="center"/>
              </w:trPr>
              <w:tc>
                <w:tcPr>
                  <w:tcW w:w="5000" w:type="pct"/>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9600"/>
                  </w:tblGrid>
                  <w:tr w:rsidR="00D10AAD" w14:paraId="7527F261" w14:textId="77777777">
                    <w:trPr>
                      <w:jc w:val="center"/>
                    </w:trPr>
                    <w:tc>
                      <w:tcPr>
                        <w:tcW w:w="9600" w:type="dxa"/>
                        <w:hideMark/>
                      </w:tcPr>
                      <w:tbl>
                        <w:tblPr>
                          <w:tblW w:w="9600" w:type="dxa"/>
                          <w:jc w:val="center"/>
                          <w:tblCellMar>
                            <w:left w:w="0" w:type="dxa"/>
                            <w:right w:w="0" w:type="dxa"/>
                          </w:tblCellMar>
                          <w:tblLook w:val="04A0" w:firstRow="1" w:lastRow="0" w:firstColumn="1" w:lastColumn="0" w:noHBand="0" w:noVBand="1"/>
                        </w:tblPr>
                        <w:tblGrid>
                          <w:gridCol w:w="9600"/>
                        </w:tblGrid>
                        <w:tr w:rsidR="00D10AAD" w14:paraId="7B5E9216" w14:textId="77777777">
                          <w:trPr>
                            <w:jc w:val="center"/>
                          </w:trPr>
                          <w:tc>
                            <w:tcPr>
                              <w:tcW w:w="0" w:type="auto"/>
                              <w:tcMar>
                                <w:top w:w="0" w:type="dxa"/>
                                <w:left w:w="0" w:type="dxa"/>
                                <w:bottom w:w="150" w:type="dxa"/>
                                <w:right w:w="0" w:type="dxa"/>
                              </w:tcMar>
                              <w:hideMark/>
                            </w:tcPr>
                            <w:tbl>
                              <w:tblPr>
                                <w:tblW w:w="9600" w:type="dxa"/>
                                <w:jc w:val="center"/>
                                <w:tblCellMar>
                                  <w:left w:w="0" w:type="dxa"/>
                                  <w:right w:w="0" w:type="dxa"/>
                                </w:tblCellMar>
                                <w:tblLook w:val="04A0" w:firstRow="1" w:lastRow="0" w:firstColumn="1" w:lastColumn="0" w:noHBand="0" w:noVBand="1"/>
                              </w:tblPr>
                              <w:tblGrid>
                                <w:gridCol w:w="1500"/>
                                <w:gridCol w:w="8100"/>
                              </w:tblGrid>
                              <w:tr w:rsidR="00D10AAD" w14:paraId="2A3DFD57" w14:textId="77777777">
                                <w:trPr>
                                  <w:jc w:val="center"/>
                                </w:trPr>
                                <w:tc>
                                  <w:tcPr>
                                    <w:tcW w:w="1500" w:type="dxa"/>
                                    <w:hideMark/>
                                  </w:tcPr>
                                  <w:tbl>
                                    <w:tblPr>
                                      <w:tblW w:w="5000" w:type="pct"/>
                                      <w:tblCellMar>
                                        <w:left w:w="0" w:type="dxa"/>
                                        <w:right w:w="0" w:type="dxa"/>
                                      </w:tblCellMar>
                                      <w:tblLook w:val="04A0" w:firstRow="1" w:lastRow="0" w:firstColumn="1" w:lastColumn="0" w:noHBand="0" w:noVBand="1"/>
                                    </w:tblPr>
                                    <w:tblGrid>
                                      <w:gridCol w:w="1500"/>
                                    </w:tblGrid>
                                    <w:tr w:rsidR="00D10AAD" w14:paraId="1B6F971A" w14:textId="77777777">
                                      <w:tc>
                                        <w:tcPr>
                                          <w:tcW w:w="0" w:type="auto"/>
                                          <w:tcMar>
                                            <w:top w:w="0" w:type="dxa"/>
                                            <w:left w:w="0" w:type="dxa"/>
                                            <w:bottom w:w="150" w:type="dxa"/>
                                            <w:right w:w="0" w:type="dxa"/>
                                          </w:tcMar>
                                          <w:vAlign w:val="center"/>
                                          <w:hideMark/>
                                        </w:tcPr>
                                        <w:p w14:paraId="13BB81CF" w14:textId="33A0351B" w:rsidR="00D10AAD" w:rsidRDefault="00D10AAD">
                                          <w:pPr>
                                            <w:jc w:val="center"/>
                                            <w:rPr>
                                              <w:rFonts w:eastAsia="Times New Roman"/>
                                            </w:rPr>
                                          </w:pPr>
                                          <w:r>
                                            <w:rPr>
                                              <w:rFonts w:eastAsia="Times New Roman"/>
                                              <w:noProof/>
                                            </w:rPr>
                                            <w:drawing>
                                              <wp:inline distT="0" distB="0" distL="0" distR="0" wp14:anchorId="4A8EFE17" wp14:editId="74FD472B">
                                                <wp:extent cx="952500" cy="1190625"/>
                                                <wp:effectExtent l="0" t="0" r="0" b="9525"/>
                                                <wp:docPr id="149396460" name="Picture 2"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ensland Governmen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p>
                                      </w:tc>
                                    </w:tr>
                                  </w:tbl>
                                  <w:p w14:paraId="23047D10" w14:textId="77777777" w:rsidR="00D10AAD" w:rsidRDefault="00D10AAD">
                                    <w:pPr>
                                      <w:rPr>
                                        <w:rFonts w:ascii="Times New Roman" w:eastAsia="Times New Roman" w:hAnsi="Times New Roman" w:cs="Times New Roman"/>
                                        <w:sz w:val="20"/>
                                        <w:szCs w:val="20"/>
                                      </w:rPr>
                                    </w:pPr>
                                  </w:p>
                                </w:tc>
                                <w:tc>
                                  <w:tcPr>
                                    <w:tcW w:w="8100" w:type="dxa"/>
                                    <w:hideMark/>
                                  </w:tcPr>
                                  <w:tbl>
                                    <w:tblPr>
                                      <w:tblW w:w="5000" w:type="pct"/>
                                      <w:tblCellMar>
                                        <w:left w:w="0" w:type="dxa"/>
                                        <w:right w:w="0" w:type="dxa"/>
                                      </w:tblCellMar>
                                      <w:tblLook w:val="04A0" w:firstRow="1" w:lastRow="0" w:firstColumn="1" w:lastColumn="0" w:noHBand="0" w:noVBand="1"/>
                                    </w:tblPr>
                                    <w:tblGrid>
                                      <w:gridCol w:w="8100"/>
                                    </w:tblGrid>
                                    <w:tr w:rsidR="00D10AAD" w14:paraId="3DC46942" w14:textId="77777777">
                                      <w:tc>
                                        <w:tcPr>
                                          <w:tcW w:w="0" w:type="auto"/>
                                          <w:tcMar>
                                            <w:top w:w="150" w:type="dxa"/>
                                            <w:left w:w="300" w:type="dxa"/>
                                            <w:bottom w:w="0" w:type="dxa"/>
                                            <w:right w:w="300" w:type="dxa"/>
                                          </w:tcMar>
                                          <w:vAlign w:val="center"/>
                                          <w:hideMark/>
                                        </w:tcPr>
                                        <w:p w14:paraId="7E3EA6A0" w14:textId="4E8A6029" w:rsidR="00D10AAD" w:rsidRDefault="00D10AAD">
                                          <w:pPr>
                                            <w:rPr>
                                              <w:rFonts w:ascii="Arial" w:eastAsia="Times New Roman" w:hAnsi="Arial" w:cs="Arial"/>
                                              <w:color w:val="555555"/>
                                              <w:sz w:val="23"/>
                                              <w:szCs w:val="23"/>
                                            </w:rPr>
                                          </w:pPr>
                                          <w:r>
                                            <w:rPr>
                                              <w:rFonts w:ascii="Arial" w:eastAsia="Times New Roman" w:hAnsi="Arial" w:cs="Arial"/>
                                              <w:noProof/>
                                              <w:color w:val="555555"/>
                                              <w:sz w:val="23"/>
                                              <w:szCs w:val="23"/>
                                            </w:rPr>
                                            <w:drawing>
                                              <wp:inline distT="0" distB="0" distL="0" distR="0" wp14:anchorId="6AB684A1" wp14:editId="6542CB9E">
                                                <wp:extent cx="1724025" cy="238125"/>
                                                <wp:effectExtent l="0" t="0" r="9525" b="9525"/>
                                                <wp:docPr id="1773652373" name="Picture 1" descr="Media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a Relea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025" cy="238125"/>
                                                        </a:xfrm>
                                                        <a:prstGeom prst="rect">
                                                          <a:avLst/>
                                                        </a:prstGeom>
                                                        <a:noFill/>
                                                        <a:ln>
                                                          <a:noFill/>
                                                        </a:ln>
                                                      </pic:spPr>
                                                    </pic:pic>
                                                  </a:graphicData>
                                                </a:graphic>
                                              </wp:inline>
                                            </w:drawing>
                                          </w:r>
                                        </w:p>
                                        <w:p w14:paraId="448B43D5" w14:textId="77777777" w:rsidR="00D10AAD" w:rsidRDefault="00D10AAD">
                                          <w:pPr>
                                            <w:spacing w:line="315" w:lineRule="exact"/>
                                            <w:rPr>
                                              <w:rFonts w:ascii="Arial" w:eastAsia="Times New Roman" w:hAnsi="Arial" w:cs="Arial"/>
                                              <w:color w:val="333333"/>
                                              <w:sz w:val="27"/>
                                              <w:szCs w:val="27"/>
                                            </w:rPr>
                                          </w:pPr>
                                          <w:r>
                                            <w:rPr>
                                              <w:rStyle w:val="Strong"/>
                                              <w:rFonts w:ascii="Arial" w:eastAsia="Times New Roman" w:hAnsi="Arial" w:cs="Arial"/>
                                              <w:color w:val="333333"/>
                                              <w:sz w:val="27"/>
                                              <w:szCs w:val="27"/>
                                            </w:rPr>
                                            <w:t>Attorney-General and Minister for Justice, Minister for Women and Minister for the Prevention of Domestic and Family Violence</w:t>
                                          </w:r>
                                        </w:p>
                                        <w:p w14:paraId="2DB61806" w14:textId="77777777" w:rsidR="00D10AAD" w:rsidRDefault="00D10AAD">
                                          <w:pPr>
                                            <w:spacing w:line="315" w:lineRule="exact"/>
                                            <w:rPr>
                                              <w:rFonts w:ascii="Arial" w:eastAsia="Times New Roman" w:hAnsi="Arial" w:cs="Arial"/>
                                              <w:color w:val="555555"/>
                                              <w:sz w:val="27"/>
                                              <w:szCs w:val="27"/>
                                            </w:rPr>
                                          </w:pPr>
                                          <w:r>
                                            <w:rPr>
                                              <w:rFonts w:ascii="Arial" w:eastAsia="Times New Roman" w:hAnsi="Arial" w:cs="Arial"/>
                                              <w:color w:val="555555"/>
                                              <w:sz w:val="27"/>
                                              <w:szCs w:val="27"/>
                                            </w:rPr>
                                            <w:t xml:space="preserve">The Honourable Shannon </w:t>
                                          </w:r>
                                          <w:proofErr w:type="spellStart"/>
                                          <w:r>
                                            <w:rPr>
                                              <w:rFonts w:ascii="Arial" w:eastAsia="Times New Roman" w:hAnsi="Arial" w:cs="Arial"/>
                                              <w:color w:val="555555"/>
                                              <w:sz w:val="27"/>
                                              <w:szCs w:val="27"/>
                                            </w:rPr>
                                            <w:t>Fentiman</w:t>
                                          </w:r>
                                          <w:proofErr w:type="spellEnd"/>
                                        </w:p>
                                      </w:tc>
                                    </w:tr>
                                  </w:tbl>
                                  <w:p w14:paraId="3306E2F7" w14:textId="77777777" w:rsidR="00D10AAD" w:rsidRDefault="00D10AAD">
                                    <w:pPr>
                                      <w:rPr>
                                        <w:rFonts w:ascii="Times New Roman" w:eastAsia="Times New Roman" w:hAnsi="Times New Roman" w:cs="Times New Roman"/>
                                        <w:sz w:val="20"/>
                                        <w:szCs w:val="20"/>
                                      </w:rPr>
                                    </w:pPr>
                                  </w:p>
                                </w:tc>
                              </w:tr>
                            </w:tbl>
                            <w:p w14:paraId="272CC3C1" w14:textId="77777777" w:rsidR="00D10AAD" w:rsidRDefault="00D10AAD">
                              <w:pPr>
                                <w:jc w:val="center"/>
                                <w:rPr>
                                  <w:rFonts w:ascii="Times New Roman" w:eastAsia="Times New Roman" w:hAnsi="Times New Roman" w:cs="Times New Roman"/>
                                  <w:sz w:val="20"/>
                                  <w:szCs w:val="20"/>
                                </w:rPr>
                              </w:pPr>
                            </w:p>
                          </w:tc>
                        </w:tr>
                      </w:tbl>
                      <w:p w14:paraId="76174110" w14:textId="77777777" w:rsidR="00D10AAD" w:rsidRDefault="00D10AAD">
                        <w:pPr>
                          <w:jc w:val="center"/>
                          <w:rPr>
                            <w:rFonts w:ascii="Times New Roman" w:eastAsia="Times New Roman" w:hAnsi="Times New Roman" w:cs="Times New Roman"/>
                            <w:sz w:val="20"/>
                            <w:szCs w:val="20"/>
                          </w:rPr>
                        </w:pPr>
                      </w:p>
                    </w:tc>
                  </w:tr>
                </w:tbl>
                <w:p w14:paraId="188A5EEA" w14:textId="77777777" w:rsidR="00D10AAD" w:rsidRDefault="00D10AAD">
                  <w:pPr>
                    <w:jc w:val="center"/>
                    <w:rPr>
                      <w:rFonts w:ascii="Times New Roman" w:eastAsia="Times New Roman" w:hAnsi="Times New Roman" w:cs="Times New Roman"/>
                      <w:sz w:val="20"/>
                      <w:szCs w:val="20"/>
                    </w:rPr>
                  </w:pPr>
                </w:p>
              </w:tc>
            </w:tr>
            <w:tr w:rsidR="00D10AAD" w14:paraId="0CB92FE7"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0200"/>
                  </w:tblGrid>
                  <w:tr w:rsidR="00D10AAD" w14:paraId="53CD5724" w14:textId="77777777">
                    <w:tc>
                      <w:tcPr>
                        <w:tcW w:w="0" w:type="auto"/>
                        <w:tcMar>
                          <w:top w:w="0" w:type="dxa"/>
                          <w:left w:w="300" w:type="dxa"/>
                          <w:bottom w:w="300" w:type="dxa"/>
                          <w:right w:w="300" w:type="dxa"/>
                        </w:tcMar>
                        <w:vAlign w:val="center"/>
                        <w:hideMark/>
                      </w:tcPr>
                      <w:p w14:paraId="20B8276D" w14:textId="77777777" w:rsidR="00D10AAD" w:rsidRDefault="00D10AAD">
                        <w:pPr>
                          <w:pStyle w:val="Heading1"/>
                          <w:spacing w:before="0" w:beforeAutospacing="0" w:after="0" w:afterAutospacing="0" w:line="405" w:lineRule="exact"/>
                          <w:rPr>
                            <w:rFonts w:ascii="Arial" w:eastAsia="Times New Roman" w:hAnsi="Arial" w:cs="Arial"/>
                            <w:b w:val="0"/>
                            <w:bCs w:val="0"/>
                            <w:color w:val="333333"/>
                            <w:sz w:val="36"/>
                            <w:szCs w:val="36"/>
                          </w:rPr>
                        </w:pPr>
                        <w:r>
                          <w:rPr>
                            <w:rFonts w:ascii="Arial" w:eastAsia="Times New Roman" w:hAnsi="Arial" w:cs="Arial"/>
                            <w:b w:val="0"/>
                            <w:bCs w:val="0"/>
                            <w:color w:val="333333"/>
                            <w:sz w:val="36"/>
                            <w:szCs w:val="36"/>
                          </w:rPr>
                          <w:t>Consultation on surveillance reforms for Queenslanders</w:t>
                        </w:r>
                      </w:p>
                    </w:tc>
                  </w:tr>
                  <w:tr w:rsidR="00D10AAD" w14:paraId="734B0B9F" w14:textId="77777777">
                    <w:tc>
                      <w:tcPr>
                        <w:tcW w:w="0" w:type="auto"/>
                        <w:tcMar>
                          <w:top w:w="0" w:type="dxa"/>
                          <w:left w:w="300" w:type="dxa"/>
                          <w:bottom w:w="300" w:type="dxa"/>
                          <w:right w:w="300" w:type="dxa"/>
                        </w:tcMar>
                        <w:vAlign w:val="center"/>
                        <w:hideMark/>
                      </w:tcPr>
                      <w:p w14:paraId="0794D20E" w14:textId="77777777" w:rsidR="00D10AAD" w:rsidRDefault="00D10AAD">
                        <w:pPr>
                          <w:rPr>
                            <w:rFonts w:ascii="Arial" w:eastAsia="Times New Roman" w:hAnsi="Arial" w:cs="Arial"/>
                            <w:b/>
                            <w:bCs/>
                            <w:color w:val="333333"/>
                            <w:sz w:val="36"/>
                            <w:szCs w:val="36"/>
                          </w:rPr>
                        </w:pPr>
                      </w:p>
                    </w:tc>
                  </w:tr>
                </w:tbl>
                <w:p w14:paraId="2109B6DE" w14:textId="77777777" w:rsidR="00D10AAD" w:rsidRDefault="00D10AAD">
                  <w:pPr>
                    <w:rPr>
                      <w:rFonts w:ascii="Times New Roman" w:eastAsia="Times New Roman" w:hAnsi="Times New Roman" w:cs="Times New Roman"/>
                      <w:sz w:val="20"/>
                      <w:szCs w:val="20"/>
                    </w:rPr>
                  </w:pPr>
                </w:p>
              </w:tc>
            </w:tr>
            <w:tr w:rsidR="00D10AAD" w14:paraId="1C300255"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0200"/>
                  </w:tblGrid>
                  <w:tr w:rsidR="00D10AAD" w14:paraId="1A9E2E0D" w14:textId="77777777">
                    <w:tc>
                      <w:tcPr>
                        <w:tcW w:w="0" w:type="auto"/>
                        <w:tcMar>
                          <w:top w:w="0" w:type="dxa"/>
                          <w:left w:w="300" w:type="dxa"/>
                          <w:bottom w:w="300" w:type="dxa"/>
                          <w:right w:w="300" w:type="dxa"/>
                        </w:tcMar>
                        <w:vAlign w:val="center"/>
                        <w:hideMark/>
                      </w:tcPr>
                      <w:p w14:paraId="376F6ECF" w14:textId="77777777" w:rsidR="00D10AAD" w:rsidRDefault="00D10AAD" w:rsidP="00B27B05">
                        <w:pPr>
                          <w:numPr>
                            <w:ilvl w:val="0"/>
                            <w:numId w:val="1"/>
                          </w:numPr>
                          <w:spacing w:before="100" w:beforeAutospacing="1" w:after="100" w:afterAutospacing="1" w:line="300" w:lineRule="exact"/>
                          <w:rPr>
                            <w:rFonts w:ascii="Arial" w:eastAsia="Times New Roman" w:hAnsi="Arial" w:cs="Arial"/>
                            <w:color w:val="555555"/>
                            <w:sz w:val="23"/>
                            <w:szCs w:val="23"/>
                          </w:rPr>
                        </w:pPr>
                        <w:r>
                          <w:rPr>
                            <w:rFonts w:ascii="Arial" w:eastAsia="Times New Roman" w:hAnsi="Arial" w:cs="Arial"/>
                            <w:color w:val="555555"/>
                            <w:sz w:val="23"/>
                            <w:szCs w:val="23"/>
                          </w:rPr>
                          <w:t xml:space="preserve">The Palaszczuk Government has opened consultation on recommended reform surrounding the use of surveillance devices. </w:t>
                        </w:r>
                      </w:p>
                      <w:p w14:paraId="48FAD663" w14:textId="77777777" w:rsidR="00D10AAD" w:rsidRDefault="00D10AAD" w:rsidP="00B27B05">
                        <w:pPr>
                          <w:numPr>
                            <w:ilvl w:val="0"/>
                            <w:numId w:val="1"/>
                          </w:numPr>
                          <w:spacing w:before="100" w:beforeAutospacing="1" w:after="100" w:afterAutospacing="1" w:line="300" w:lineRule="exact"/>
                          <w:rPr>
                            <w:rFonts w:ascii="Arial" w:eastAsia="Times New Roman" w:hAnsi="Arial" w:cs="Arial"/>
                            <w:color w:val="555555"/>
                            <w:sz w:val="23"/>
                            <w:szCs w:val="23"/>
                          </w:rPr>
                        </w:pPr>
                        <w:r>
                          <w:rPr>
                            <w:rFonts w:ascii="Arial" w:eastAsia="Times New Roman" w:hAnsi="Arial" w:cs="Arial"/>
                            <w:color w:val="555555"/>
                            <w:sz w:val="23"/>
                            <w:szCs w:val="23"/>
                          </w:rPr>
                          <w:t xml:space="preserve">The public is invited to have their say on a consultation paper covering the use of devices such as drones, </w:t>
                        </w:r>
                        <w:proofErr w:type="gramStart"/>
                        <w:r>
                          <w:rPr>
                            <w:rFonts w:ascii="Arial" w:eastAsia="Times New Roman" w:hAnsi="Arial" w:cs="Arial"/>
                            <w:color w:val="555555"/>
                            <w:sz w:val="23"/>
                            <w:szCs w:val="23"/>
                          </w:rPr>
                          <w:t>CCTV</w:t>
                        </w:r>
                        <w:proofErr w:type="gramEnd"/>
                        <w:r>
                          <w:rPr>
                            <w:rFonts w:ascii="Arial" w:eastAsia="Times New Roman" w:hAnsi="Arial" w:cs="Arial"/>
                            <w:color w:val="555555"/>
                            <w:sz w:val="23"/>
                            <w:szCs w:val="23"/>
                          </w:rPr>
                          <w:t xml:space="preserve"> and tracking devices. </w:t>
                        </w:r>
                      </w:p>
                      <w:p w14:paraId="59FF6FFA" w14:textId="77777777" w:rsidR="00D10AAD" w:rsidRDefault="00D10AAD" w:rsidP="00B27B05">
                        <w:pPr>
                          <w:numPr>
                            <w:ilvl w:val="0"/>
                            <w:numId w:val="1"/>
                          </w:numPr>
                          <w:spacing w:before="100" w:beforeAutospacing="1" w:after="100" w:afterAutospacing="1" w:line="300" w:lineRule="exact"/>
                          <w:rPr>
                            <w:rFonts w:ascii="Arial" w:eastAsia="Times New Roman" w:hAnsi="Arial" w:cs="Arial"/>
                            <w:color w:val="555555"/>
                            <w:sz w:val="23"/>
                            <w:szCs w:val="23"/>
                          </w:rPr>
                        </w:pPr>
                        <w:r>
                          <w:rPr>
                            <w:rFonts w:ascii="Arial" w:eastAsia="Times New Roman" w:hAnsi="Arial" w:cs="Arial"/>
                            <w:color w:val="555555"/>
                            <w:sz w:val="23"/>
                            <w:szCs w:val="23"/>
                          </w:rPr>
                          <w:t xml:space="preserve">The Queensland Law Reform Commission (QLRC) examined the adequacy of laws around these devices and provided recommendations to strengthen privacy for those in Queensland. </w:t>
                        </w:r>
                      </w:p>
                      <w:p w14:paraId="3777A5C2" w14:textId="77777777" w:rsidR="00D10AAD" w:rsidRDefault="00D10AAD">
                        <w:pPr>
                          <w:pStyle w:val="NormalWeb"/>
                          <w:spacing w:line="300" w:lineRule="exact"/>
                          <w:rPr>
                            <w:rFonts w:ascii="Arial" w:hAnsi="Arial" w:cs="Arial"/>
                            <w:color w:val="555555"/>
                            <w:sz w:val="23"/>
                            <w:szCs w:val="23"/>
                          </w:rPr>
                        </w:pPr>
                        <w:r>
                          <w:rPr>
                            <w:rFonts w:ascii="Arial" w:hAnsi="Arial" w:cs="Arial"/>
                            <w:color w:val="555555"/>
                            <w:sz w:val="23"/>
                            <w:szCs w:val="23"/>
                          </w:rPr>
                          <w:t>Consultation is underway on possible reforms to strengthen laws that manage surveillance devices and similar technologies to better protect the privacy of Queenslanders.</w:t>
                        </w:r>
                      </w:p>
                      <w:p w14:paraId="041ED873" w14:textId="77777777" w:rsidR="00D10AAD" w:rsidRDefault="00D10AAD">
                        <w:pPr>
                          <w:pStyle w:val="NormalWeb"/>
                          <w:spacing w:line="300" w:lineRule="exact"/>
                          <w:rPr>
                            <w:rFonts w:ascii="Arial" w:hAnsi="Arial" w:cs="Arial"/>
                            <w:color w:val="555555"/>
                            <w:sz w:val="23"/>
                            <w:szCs w:val="23"/>
                          </w:rPr>
                        </w:pPr>
                        <w:r>
                          <w:rPr>
                            <w:rFonts w:ascii="Arial" w:hAnsi="Arial" w:cs="Arial"/>
                            <w:color w:val="555555"/>
                            <w:sz w:val="23"/>
                            <w:szCs w:val="23"/>
                          </w:rPr>
                          <w:t>The consultation paper is seeking views on a potential staged approach to implementing civil surveillance reforms recommended in the QLRC Report, starting with criminal prohibitions on the use of surveillance devices and technologies in both civil and workplace environments.</w:t>
                        </w:r>
                      </w:p>
                      <w:p w14:paraId="2E626681" w14:textId="77777777" w:rsidR="00D10AAD" w:rsidRDefault="00D10AAD">
                        <w:pPr>
                          <w:pStyle w:val="NormalWeb"/>
                          <w:spacing w:line="300" w:lineRule="exact"/>
                          <w:rPr>
                            <w:rFonts w:ascii="Arial" w:hAnsi="Arial" w:cs="Arial"/>
                            <w:color w:val="555555"/>
                            <w:sz w:val="23"/>
                            <w:szCs w:val="23"/>
                          </w:rPr>
                        </w:pPr>
                        <w:r>
                          <w:rPr>
                            <w:rFonts w:ascii="Arial" w:hAnsi="Arial" w:cs="Arial"/>
                            <w:color w:val="555555"/>
                            <w:sz w:val="23"/>
                            <w:szCs w:val="23"/>
                          </w:rPr>
                          <w:t>Surveillance devices and technology that are discussed in the consultation paper include CCTV, tracking and digital recording devices, as well as recreational and commercial drones with advanced optical and audio recording capabilities.</w:t>
                        </w:r>
                      </w:p>
                      <w:p w14:paraId="10033B95" w14:textId="77777777" w:rsidR="00D10AAD" w:rsidRDefault="00D10AAD">
                        <w:pPr>
                          <w:pStyle w:val="NormalWeb"/>
                          <w:spacing w:line="300" w:lineRule="exact"/>
                          <w:rPr>
                            <w:rFonts w:ascii="Arial" w:hAnsi="Arial" w:cs="Arial"/>
                            <w:color w:val="555555"/>
                            <w:sz w:val="23"/>
                            <w:szCs w:val="23"/>
                          </w:rPr>
                        </w:pPr>
                        <w:r>
                          <w:rPr>
                            <w:rFonts w:ascii="Arial" w:hAnsi="Arial" w:cs="Arial"/>
                            <w:color w:val="555555"/>
                            <w:sz w:val="23"/>
                            <w:szCs w:val="23"/>
                          </w:rPr>
                          <w:t xml:space="preserve">The consultation paper reflects </w:t>
                        </w:r>
                        <w:proofErr w:type="gramStart"/>
                        <w:r>
                          <w:rPr>
                            <w:rFonts w:ascii="Arial" w:hAnsi="Arial" w:cs="Arial"/>
                            <w:color w:val="555555"/>
                            <w:sz w:val="23"/>
                            <w:szCs w:val="23"/>
                          </w:rPr>
                          <w:t>a number of</w:t>
                        </w:r>
                        <w:proofErr w:type="gramEnd"/>
                        <w:r>
                          <w:rPr>
                            <w:rFonts w:ascii="Arial" w:hAnsi="Arial" w:cs="Arial"/>
                            <w:color w:val="555555"/>
                            <w:sz w:val="23"/>
                            <w:szCs w:val="23"/>
                          </w:rPr>
                          <w:t xml:space="preserve"> recommendations made by the Queensland Law Reform Commission (QLRC) on the use of surveillance devices and the adequacy of the state’s privacy legislation.</w:t>
                        </w:r>
                      </w:p>
                      <w:p w14:paraId="67117900" w14:textId="77777777" w:rsidR="00D10AAD" w:rsidRDefault="00D10AAD">
                        <w:pPr>
                          <w:pStyle w:val="NormalWeb"/>
                          <w:spacing w:line="300" w:lineRule="exact"/>
                          <w:rPr>
                            <w:rFonts w:ascii="Arial" w:hAnsi="Arial" w:cs="Arial"/>
                            <w:color w:val="555555"/>
                            <w:sz w:val="23"/>
                            <w:szCs w:val="23"/>
                          </w:rPr>
                        </w:pPr>
                        <w:r>
                          <w:rPr>
                            <w:rFonts w:ascii="Arial" w:hAnsi="Arial" w:cs="Arial"/>
                            <w:color w:val="555555"/>
                            <w:sz w:val="23"/>
                            <w:szCs w:val="23"/>
                          </w:rPr>
                          <w:t xml:space="preserve">While Queenslanders are currently protected by laws governing the use of listening devices in certain circumstances, under the </w:t>
                        </w:r>
                        <w:r>
                          <w:rPr>
                            <w:rStyle w:val="Emphasis"/>
                            <w:rFonts w:ascii="Arial" w:hAnsi="Arial" w:cs="Arial"/>
                            <w:color w:val="555555"/>
                            <w:sz w:val="23"/>
                            <w:szCs w:val="23"/>
                          </w:rPr>
                          <w:t>Invasion of Privacy Act 1971</w:t>
                        </w:r>
                        <w:r>
                          <w:rPr>
                            <w:rFonts w:ascii="Arial" w:hAnsi="Arial" w:cs="Arial"/>
                            <w:color w:val="555555"/>
                            <w:sz w:val="23"/>
                            <w:szCs w:val="23"/>
                          </w:rPr>
                          <w:t>, the consultation paper discusses more comprehensive protections.</w:t>
                        </w:r>
                      </w:p>
                      <w:p w14:paraId="245BE5D8" w14:textId="77777777" w:rsidR="00D10AAD" w:rsidRDefault="00D10AAD">
                        <w:pPr>
                          <w:pStyle w:val="NormalWeb"/>
                          <w:spacing w:line="300" w:lineRule="exact"/>
                          <w:rPr>
                            <w:rFonts w:ascii="Arial" w:hAnsi="Arial" w:cs="Arial"/>
                            <w:color w:val="555555"/>
                            <w:sz w:val="23"/>
                            <w:szCs w:val="23"/>
                          </w:rPr>
                        </w:pPr>
                        <w:r>
                          <w:rPr>
                            <w:rFonts w:ascii="Arial" w:hAnsi="Arial" w:cs="Arial"/>
                            <w:color w:val="555555"/>
                            <w:sz w:val="23"/>
                            <w:szCs w:val="23"/>
                          </w:rPr>
                          <w:t>The criminal prohibitions discussed in the consultation paper would regulate optical, tracking and data surveillance devices in legislation, as well as impose criminal penalties on the use, installation, and maintenance of surveillance devices without consent, and the sharing of information obtained from a surveillance device.</w:t>
                        </w:r>
                      </w:p>
                      <w:p w14:paraId="748D5812" w14:textId="77777777" w:rsidR="00D10AAD" w:rsidRDefault="00D10AAD">
                        <w:pPr>
                          <w:pStyle w:val="NormalWeb"/>
                          <w:spacing w:line="300" w:lineRule="exact"/>
                          <w:rPr>
                            <w:rFonts w:ascii="Arial" w:hAnsi="Arial" w:cs="Arial"/>
                            <w:color w:val="555555"/>
                            <w:sz w:val="23"/>
                            <w:szCs w:val="23"/>
                          </w:rPr>
                        </w:pPr>
                        <w:r>
                          <w:rPr>
                            <w:rFonts w:ascii="Arial" w:hAnsi="Arial" w:cs="Arial"/>
                            <w:color w:val="555555"/>
                            <w:sz w:val="23"/>
                            <w:szCs w:val="23"/>
                          </w:rPr>
                          <w:t>The proposed reforms are of general application and, if enacted, would apply to all persons and workplaces and their surveillance device practices.</w:t>
                        </w:r>
                      </w:p>
                      <w:p w14:paraId="6D78AB1D" w14:textId="77777777" w:rsidR="00D10AAD" w:rsidRDefault="00D10AAD">
                        <w:pPr>
                          <w:pStyle w:val="NormalWeb"/>
                          <w:spacing w:line="300" w:lineRule="exact"/>
                          <w:rPr>
                            <w:rFonts w:ascii="Arial" w:hAnsi="Arial" w:cs="Arial"/>
                            <w:color w:val="555555"/>
                            <w:sz w:val="23"/>
                            <w:szCs w:val="23"/>
                          </w:rPr>
                        </w:pPr>
                        <w:r>
                          <w:rPr>
                            <w:rFonts w:ascii="Arial" w:hAnsi="Arial" w:cs="Arial"/>
                            <w:color w:val="555555"/>
                            <w:sz w:val="23"/>
                            <w:szCs w:val="23"/>
                          </w:rPr>
                          <w:lastRenderedPageBreak/>
                          <w:t>However, we recognise that may not offer protection to employees who agree to an employer’s use of surveillance in circumstances where they may not feel they are free to withhold their consent.</w:t>
                        </w:r>
                      </w:p>
                      <w:p w14:paraId="49496C0C" w14:textId="77777777" w:rsidR="00D10AAD" w:rsidRDefault="00D10AAD">
                        <w:pPr>
                          <w:pStyle w:val="NormalWeb"/>
                          <w:spacing w:line="300" w:lineRule="exact"/>
                          <w:rPr>
                            <w:rFonts w:ascii="Arial" w:hAnsi="Arial" w:cs="Arial"/>
                            <w:color w:val="555555"/>
                            <w:sz w:val="23"/>
                            <w:szCs w:val="23"/>
                          </w:rPr>
                        </w:pPr>
                        <w:r>
                          <w:rPr>
                            <w:rFonts w:ascii="Arial" w:hAnsi="Arial" w:cs="Arial"/>
                            <w:color w:val="555555"/>
                            <w:sz w:val="23"/>
                            <w:szCs w:val="23"/>
                          </w:rPr>
                          <w:t>This consultation will offer an opportunity to express views on how to regulate workplace surveillance and find the right balance between reasonable workplace practices and expectations of privacy. It is important to understand how the use of surveillance technologies can benefit the community but how to also limit their use in potentially harmful situations, such as theft, stalking and harassment.</w:t>
                        </w:r>
                      </w:p>
                      <w:p w14:paraId="20C2F396" w14:textId="77777777" w:rsidR="00D10AAD" w:rsidRDefault="00D10AAD">
                        <w:pPr>
                          <w:pStyle w:val="NormalWeb"/>
                          <w:spacing w:line="300" w:lineRule="exact"/>
                          <w:rPr>
                            <w:rFonts w:ascii="Arial" w:hAnsi="Arial" w:cs="Arial"/>
                            <w:color w:val="555555"/>
                            <w:sz w:val="23"/>
                            <w:szCs w:val="23"/>
                          </w:rPr>
                        </w:pPr>
                        <w:r>
                          <w:rPr>
                            <w:rStyle w:val="Strong"/>
                            <w:rFonts w:ascii="Arial" w:hAnsi="Arial" w:cs="Arial"/>
                            <w:color w:val="555555"/>
                            <w:sz w:val="23"/>
                            <w:szCs w:val="23"/>
                          </w:rPr>
                          <w:t xml:space="preserve">Quotes attributable to the Attorney-General and Minister for Justice, Shannon </w:t>
                        </w:r>
                        <w:proofErr w:type="spellStart"/>
                        <w:r>
                          <w:rPr>
                            <w:rStyle w:val="Strong"/>
                            <w:rFonts w:ascii="Arial" w:hAnsi="Arial" w:cs="Arial"/>
                            <w:color w:val="555555"/>
                            <w:sz w:val="23"/>
                            <w:szCs w:val="23"/>
                          </w:rPr>
                          <w:t>Fentiman</w:t>
                        </w:r>
                        <w:proofErr w:type="spellEnd"/>
                        <w:r>
                          <w:rPr>
                            <w:rStyle w:val="Strong"/>
                            <w:rFonts w:ascii="Arial" w:hAnsi="Arial" w:cs="Arial"/>
                            <w:color w:val="555555"/>
                            <w:sz w:val="23"/>
                            <w:szCs w:val="23"/>
                          </w:rPr>
                          <w:t>:</w:t>
                        </w:r>
                      </w:p>
                      <w:p w14:paraId="72077231" w14:textId="77777777" w:rsidR="00D10AAD" w:rsidRDefault="00D10AAD">
                        <w:pPr>
                          <w:pStyle w:val="NormalWeb"/>
                          <w:spacing w:line="300" w:lineRule="exact"/>
                          <w:rPr>
                            <w:rFonts w:ascii="Arial" w:hAnsi="Arial" w:cs="Arial"/>
                            <w:color w:val="555555"/>
                            <w:sz w:val="23"/>
                            <w:szCs w:val="23"/>
                          </w:rPr>
                        </w:pPr>
                        <w:r>
                          <w:rPr>
                            <w:rStyle w:val="Emphasis"/>
                            <w:rFonts w:ascii="Arial" w:hAnsi="Arial" w:cs="Arial"/>
                            <w:color w:val="555555"/>
                            <w:sz w:val="23"/>
                            <w:szCs w:val="23"/>
                          </w:rPr>
                          <w:t>“Surveillance devices such as CCTV, tracking devices and drones are impacting the privacy of so many Queenslanders and we want to make sure our laws keep pace with these advancements in technology, without disrupting their intended safe use.”</w:t>
                        </w:r>
                      </w:p>
                      <w:p w14:paraId="22B4C48E" w14:textId="77777777" w:rsidR="00D10AAD" w:rsidRDefault="00D10AAD">
                        <w:pPr>
                          <w:pStyle w:val="NormalWeb"/>
                          <w:spacing w:line="300" w:lineRule="exact"/>
                          <w:rPr>
                            <w:rFonts w:ascii="Arial" w:hAnsi="Arial" w:cs="Arial"/>
                            <w:color w:val="555555"/>
                            <w:sz w:val="23"/>
                            <w:szCs w:val="23"/>
                          </w:rPr>
                        </w:pPr>
                        <w:r>
                          <w:rPr>
                            <w:rStyle w:val="Emphasis"/>
                            <w:rFonts w:ascii="Arial" w:hAnsi="Arial" w:cs="Arial"/>
                            <w:color w:val="555555"/>
                            <w:sz w:val="23"/>
                            <w:szCs w:val="23"/>
                          </w:rPr>
                          <w:t>“It is critical that we have legislation that reflects a modern Queensland and effectively protects against invasions of privacy carried out through the use of various types of surveillance devices.”</w:t>
                        </w:r>
                      </w:p>
                      <w:p w14:paraId="0BE52DB7" w14:textId="77777777" w:rsidR="00D10AAD" w:rsidRDefault="00D10AAD">
                        <w:pPr>
                          <w:pStyle w:val="NormalWeb"/>
                          <w:spacing w:line="300" w:lineRule="exact"/>
                          <w:rPr>
                            <w:rFonts w:ascii="Arial" w:hAnsi="Arial" w:cs="Arial"/>
                            <w:color w:val="555555"/>
                            <w:sz w:val="23"/>
                            <w:szCs w:val="23"/>
                          </w:rPr>
                        </w:pPr>
                        <w:r>
                          <w:rPr>
                            <w:rStyle w:val="Emphasis"/>
                            <w:rFonts w:ascii="Arial" w:hAnsi="Arial" w:cs="Arial"/>
                            <w:color w:val="555555"/>
                            <w:sz w:val="23"/>
                            <w:szCs w:val="23"/>
                          </w:rPr>
                          <w:t>“The consultation paper is about seeking views on the approach to stronger privacy protections for Queenslanders, and making sure technology is prohibited from harmful use, such as harassment, or further hurting victims of domestic and family violence.”</w:t>
                        </w:r>
                      </w:p>
                      <w:p w14:paraId="72178CCF" w14:textId="77777777" w:rsidR="00D10AAD" w:rsidRDefault="00D10AAD">
                        <w:pPr>
                          <w:pStyle w:val="NormalWeb"/>
                          <w:spacing w:line="300" w:lineRule="exact"/>
                          <w:rPr>
                            <w:rFonts w:ascii="Arial" w:hAnsi="Arial" w:cs="Arial"/>
                            <w:color w:val="555555"/>
                            <w:sz w:val="23"/>
                            <w:szCs w:val="23"/>
                          </w:rPr>
                        </w:pPr>
                        <w:r>
                          <w:rPr>
                            <w:rStyle w:val="Emphasis"/>
                            <w:rFonts w:ascii="Arial" w:hAnsi="Arial" w:cs="Arial"/>
                            <w:color w:val="555555"/>
                            <w:sz w:val="23"/>
                            <w:szCs w:val="23"/>
                          </w:rPr>
                          <w:t>“I encourage everyone with an interest to provide feedback, because community input from a diverse range of stakeholders will ensure that any reforms are relevant and effective.”</w:t>
                        </w:r>
                      </w:p>
                      <w:p w14:paraId="0C81DE68" w14:textId="77777777" w:rsidR="00D10AAD" w:rsidRDefault="00D10AAD">
                        <w:pPr>
                          <w:pStyle w:val="NormalWeb"/>
                          <w:spacing w:line="300" w:lineRule="exact"/>
                          <w:rPr>
                            <w:rFonts w:ascii="Arial" w:hAnsi="Arial" w:cs="Arial"/>
                            <w:color w:val="555555"/>
                            <w:sz w:val="23"/>
                            <w:szCs w:val="23"/>
                          </w:rPr>
                        </w:pPr>
                        <w:r>
                          <w:rPr>
                            <w:rFonts w:ascii="Arial" w:hAnsi="Arial" w:cs="Arial"/>
                            <w:color w:val="555555"/>
                            <w:sz w:val="23"/>
                            <w:szCs w:val="23"/>
                          </w:rPr>
                          <w:t>The consultation paper is available here: </w:t>
                        </w:r>
                        <w:hyperlink r:id="rId7" w:history="1">
                          <w:r>
                            <w:rPr>
                              <w:rStyle w:val="Hyperlink"/>
                              <w:rFonts w:ascii="Arial" w:hAnsi="Arial" w:cs="Arial"/>
                              <w:sz w:val="23"/>
                              <w:szCs w:val="23"/>
                            </w:rPr>
                            <w:t>https://www.justice.qld.gov.au/community-engagement/community-consultation/current/civil-surveillance-reforms-consultation</w:t>
                          </w:r>
                        </w:hyperlink>
                        <w:r>
                          <w:rPr>
                            <w:rFonts w:ascii="Arial" w:hAnsi="Arial" w:cs="Arial"/>
                            <w:color w:val="555555"/>
                            <w:sz w:val="23"/>
                            <w:szCs w:val="23"/>
                          </w:rPr>
                          <w:t xml:space="preserve"> </w:t>
                        </w:r>
                        <w:bookmarkStart w:id="0" w:name="_msoanchor_1"/>
                        <w:bookmarkEnd w:id="0"/>
                      </w:p>
                      <w:p w14:paraId="6D3E0356" w14:textId="77777777" w:rsidR="00D10AAD" w:rsidRDefault="00D10AAD">
                        <w:pPr>
                          <w:pStyle w:val="NormalWeb"/>
                          <w:spacing w:line="300" w:lineRule="exact"/>
                          <w:rPr>
                            <w:rFonts w:ascii="Arial" w:hAnsi="Arial" w:cs="Arial"/>
                            <w:color w:val="555555"/>
                            <w:sz w:val="23"/>
                            <w:szCs w:val="23"/>
                          </w:rPr>
                        </w:pPr>
                        <w:r>
                          <w:rPr>
                            <w:rFonts w:ascii="Arial" w:hAnsi="Arial" w:cs="Arial"/>
                            <w:color w:val="555555"/>
                            <w:sz w:val="23"/>
                            <w:szCs w:val="23"/>
                          </w:rPr>
                          <w:t>Submissions close on 31 May 2023.</w:t>
                        </w:r>
                      </w:p>
                      <w:p w14:paraId="7F12E5FC" w14:textId="77777777" w:rsidR="00D10AAD" w:rsidRDefault="00D10AAD">
                        <w:pPr>
                          <w:pStyle w:val="NormalWeb"/>
                          <w:spacing w:line="300" w:lineRule="exact"/>
                          <w:rPr>
                            <w:rFonts w:ascii="Arial" w:hAnsi="Arial" w:cs="Arial"/>
                            <w:color w:val="555555"/>
                            <w:sz w:val="23"/>
                            <w:szCs w:val="23"/>
                          </w:rPr>
                        </w:pPr>
                        <w:r>
                          <w:rPr>
                            <w:rFonts w:ascii="Arial" w:hAnsi="Arial" w:cs="Arial"/>
                            <w:color w:val="555555"/>
                            <w:sz w:val="23"/>
                            <w:szCs w:val="23"/>
                          </w:rPr>
                          <w:t xml:space="preserve">The QLRC’s </w:t>
                        </w:r>
                        <w:r>
                          <w:rPr>
                            <w:rStyle w:val="Emphasis"/>
                            <w:rFonts w:ascii="Arial" w:hAnsi="Arial" w:cs="Arial"/>
                            <w:color w:val="555555"/>
                            <w:sz w:val="23"/>
                            <w:szCs w:val="23"/>
                          </w:rPr>
                          <w:t>Report No. 77 - Review of Queensland’s laws relating to civil surveillance and the protection of privacy in the context of current and emerging technologies</w:t>
                        </w:r>
                        <w:r>
                          <w:rPr>
                            <w:rFonts w:ascii="Arial" w:hAnsi="Arial" w:cs="Arial"/>
                            <w:color w:val="555555"/>
                            <w:sz w:val="23"/>
                            <w:szCs w:val="23"/>
                          </w:rPr>
                          <w:t xml:space="preserve"> is available here: </w:t>
                        </w:r>
                        <w:hyperlink r:id="rId8" w:history="1">
                          <w:r>
                            <w:rPr>
                              <w:rStyle w:val="Hyperlink"/>
                              <w:rFonts w:ascii="Arial" w:hAnsi="Arial" w:cs="Arial"/>
                              <w:sz w:val="23"/>
                              <w:szCs w:val="23"/>
                            </w:rPr>
                            <w:t>QLRC-Report-77-online.pdf</w:t>
                          </w:r>
                        </w:hyperlink>
                      </w:p>
                      <w:p w14:paraId="130DFC8B" w14:textId="77777777" w:rsidR="00D10AAD" w:rsidRDefault="00D10AAD">
                        <w:pPr>
                          <w:pStyle w:val="NormalWeb"/>
                          <w:spacing w:line="300" w:lineRule="exact"/>
                          <w:rPr>
                            <w:rFonts w:ascii="Arial" w:hAnsi="Arial" w:cs="Arial"/>
                            <w:color w:val="555555"/>
                            <w:sz w:val="23"/>
                            <w:szCs w:val="23"/>
                          </w:rPr>
                        </w:pPr>
                        <w:r>
                          <w:rPr>
                            <w:rFonts w:ascii="Arial" w:hAnsi="Arial" w:cs="Arial"/>
                            <w:color w:val="555555"/>
                            <w:sz w:val="23"/>
                            <w:szCs w:val="23"/>
                          </w:rPr>
                          <w:t xml:space="preserve">Media contact – </w:t>
                        </w:r>
                        <w:proofErr w:type="spellStart"/>
                        <w:r>
                          <w:rPr>
                            <w:rFonts w:ascii="Arial" w:hAnsi="Arial" w:cs="Arial"/>
                            <w:color w:val="555555"/>
                            <w:sz w:val="23"/>
                            <w:szCs w:val="23"/>
                          </w:rPr>
                          <w:t>Natarjsha</w:t>
                        </w:r>
                        <w:proofErr w:type="spellEnd"/>
                        <w:r>
                          <w:rPr>
                            <w:rFonts w:ascii="Arial" w:hAnsi="Arial" w:cs="Arial"/>
                            <w:color w:val="555555"/>
                            <w:sz w:val="23"/>
                            <w:szCs w:val="23"/>
                          </w:rPr>
                          <w:t xml:space="preserve"> Kramer 0456 436 934</w:t>
                        </w:r>
                      </w:p>
                    </w:tc>
                  </w:tr>
                </w:tbl>
                <w:p w14:paraId="41595C20" w14:textId="77777777" w:rsidR="00D10AAD" w:rsidRDefault="00D10AAD">
                  <w:pPr>
                    <w:rPr>
                      <w:rFonts w:ascii="Times New Roman" w:eastAsia="Times New Roman" w:hAnsi="Times New Roman" w:cs="Times New Roman"/>
                      <w:sz w:val="20"/>
                      <w:szCs w:val="20"/>
                    </w:rPr>
                  </w:pPr>
                </w:p>
              </w:tc>
            </w:tr>
          </w:tbl>
          <w:p w14:paraId="78D62E06" w14:textId="77777777" w:rsidR="00D10AAD" w:rsidRDefault="00D10AAD">
            <w:pPr>
              <w:rPr>
                <w:rFonts w:eastAsia="Times New Roman"/>
                <w:vanish/>
              </w:rPr>
            </w:pPr>
          </w:p>
          <w:tbl>
            <w:tblPr>
              <w:tblW w:w="10200" w:type="dxa"/>
              <w:jc w:val="center"/>
              <w:tblCellMar>
                <w:left w:w="0" w:type="dxa"/>
                <w:right w:w="0" w:type="dxa"/>
              </w:tblCellMar>
              <w:tblLook w:val="04A0" w:firstRow="1" w:lastRow="0" w:firstColumn="1" w:lastColumn="0" w:noHBand="0" w:noVBand="1"/>
            </w:tblPr>
            <w:tblGrid>
              <w:gridCol w:w="10200"/>
            </w:tblGrid>
            <w:tr w:rsidR="00D10AAD" w14:paraId="4FA0420A" w14:textId="77777777">
              <w:trPr>
                <w:jc w:val="center"/>
              </w:trPr>
              <w:tc>
                <w:tcPr>
                  <w:tcW w:w="5000" w:type="pct"/>
                  <w:tcMar>
                    <w:top w:w="300" w:type="dxa"/>
                    <w:left w:w="150" w:type="dxa"/>
                    <w:bottom w:w="300" w:type="dxa"/>
                    <w:right w:w="150" w:type="dxa"/>
                  </w:tcMar>
                  <w:vAlign w:val="center"/>
                  <w:hideMark/>
                </w:tcPr>
                <w:p w14:paraId="4BB09065" w14:textId="77777777" w:rsidR="00D10AAD" w:rsidRDefault="00D10AAD">
                  <w:pPr>
                    <w:spacing w:line="270" w:lineRule="exact"/>
                    <w:jc w:val="center"/>
                    <w:rPr>
                      <w:rFonts w:ascii="Arial" w:eastAsia="Times New Roman" w:hAnsi="Arial" w:cs="Arial"/>
                      <w:color w:val="888888"/>
                      <w:sz w:val="18"/>
                      <w:szCs w:val="18"/>
                    </w:rPr>
                  </w:pPr>
                  <w:hyperlink r:id="rId9" w:history="1">
                    <w:r>
                      <w:rPr>
                        <w:rStyle w:val="Hyperlink"/>
                        <w:rFonts w:ascii="Arial" w:eastAsia="Times New Roman" w:hAnsi="Arial" w:cs="Arial"/>
                        <w:sz w:val="18"/>
                        <w:szCs w:val="18"/>
                      </w:rPr>
                      <w:t>Unsubscribe me</w:t>
                    </w:r>
                  </w:hyperlink>
                  <w:r>
                    <w:rPr>
                      <w:rFonts w:ascii="Arial" w:eastAsia="Times New Roman" w:hAnsi="Arial" w:cs="Arial"/>
                      <w:color w:val="888888"/>
                      <w:sz w:val="18"/>
                      <w:szCs w:val="18"/>
                    </w:rPr>
                    <w:br/>
                  </w:r>
                  <w:r>
                    <w:rPr>
                      <w:rFonts w:ascii="Arial" w:eastAsia="Times New Roman" w:hAnsi="Arial" w:cs="Arial"/>
                      <w:color w:val="888888"/>
                      <w:sz w:val="18"/>
                      <w:szCs w:val="18"/>
                    </w:rPr>
                    <w:br/>
                  </w:r>
                  <w:hyperlink r:id="rId10" w:history="1">
                    <w:r>
                      <w:rPr>
                        <w:rStyle w:val="Hyperlink"/>
                        <w:rFonts w:ascii="Arial" w:eastAsia="Times New Roman" w:hAnsi="Arial" w:cs="Arial"/>
                        <w:sz w:val="18"/>
                        <w:szCs w:val="18"/>
                      </w:rPr>
                      <w:t>View more statements on our web site</w:t>
                    </w:r>
                  </w:hyperlink>
                  <w:r>
                    <w:rPr>
                      <w:rFonts w:ascii="Arial" w:eastAsia="Times New Roman" w:hAnsi="Arial" w:cs="Arial"/>
                      <w:color w:val="888888"/>
                      <w:sz w:val="18"/>
                      <w:szCs w:val="18"/>
                    </w:rPr>
                    <w:t xml:space="preserve"> </w:t>
                  </w:r>
                  <w:r>
                    <w:rPr>
                      <w:rFonts w:ascii="Arial" w:eastAsia="Times New Roman" w:hAnsi="Arial" w:cs="Arial"/>
                      <w:color w:val="888888"/>
                      <w:sz w:val="18"/>
                      <w:szCs w:val="18"/>
                    </w:rPr>
                    <w:br/>
                  </w:r>
                  <w:r>
                    <w:rPr>
                      <w:rFonts w:ascii="Arial" w:eastAsia="Times New Roman" w:hAnsi="Arial" w:cs="Arial"/>
                      <w:color w:val="888888"/>
                      <w:sz w:val="18"/>
                      <w:szCs w:val="18"/>
                    </w:rPr>
                    <w:br/>
                    <w:t>© The State of Queensland</w:t>
                  </w:r>
                  <w:r>
                    <w:rPr>
                      <w:rFonts w:ascii="Arial" w:eastAsia="Times New Roman" w:hAnsi="Arial" w:cs="Arial"/>
                      <w:color w:val="888888"/>
                      <w:sz w:val="18"/>
                      <w:szCs w:val="18"/>
                    </w:rPr>
                    <w:br/>
                    <w:t xml:space="preserve">(Department of the Premier and Cabinet) </w:t>
                  </w:r>
                </w:p>
              </w:tc>
            </w:tr>
          </w:tbl>
          <w:p w14:paraId="5212612F" w14:textId="77777777" w:rsidR="00D10AAD" w:rsidRDefault="00D10AAD">
            <w:pPr>
              <w:jc w:val="center"/>
              <w:rPr>
                <w:rFonts w:ascii="Times New Roman" w:eastAsia="Times New Roman" w:hAnsi="Times New Roman" w:cs="Times New Roman"/>
                <w:sz w:val="20"/>
                <w:szCs w:val="20"/>
              </w:rPr>
            </w:pPr>
          </w:p>
        </w:tc>
      </w:tr>
    </w:tbl>
    <w:p w14:paraId="7B503331" w14:textId="77777777" w:rsidR="006B0F1A" w:rsidRDefault="006B0F1A"/>
    <w:sectPr w:rsidR="006B0F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8721A"/>
    <w:multiLevelType w:val="multilevel"/>
    <w:tmpl w:val="4816E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3065985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AAD"/>
    <w:rsid w:val="006B0F1A"/>
    <w:rsid w:val="00D10A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68E41"/>
  <w15:chartTrackingRefBased/>
  <w15:docId w15:val="{BFE08122-4C87-4C6D-A685-57247E16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AAD"/>
    <w:pPr>
      <w:spacing w:after="0" w:line="240" w:lineRule="auto"/>
    </w:pPr>
    <w:rPr>
      <w:rFonts w:ascii="Calibri" w:hAnsi="Calibri" w:cs="Calibri"/>
      <w:kern w:val="0"/>
      <w:lang w:eastAsia="en-AU"/>
      <w14:ligatures w14:val="none"/>
    </w:rPr>
  </w:style>
  <w:style w:type="paragraph" w:styleId="Heading1">
    <w:name w:val="heading 1"/>
    <w:basedOn w:val="Normal"/>
    <w:link w:val="Heading1Char"/>
    <w:uiPriority w:val="9"/>
    <w:qFormat/>
    <w:rsid w:val="00D10AA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AAD"/>
    <w:rPr>
      <w:rFonts w:ascii="Calibri" w:hAnsi="Calibri" w:cs="Calibri"/>
      <w:b/>
      <w:bCs/>
      <w:kern w:val="36"/>
      <w:sz w:val="48"/>
      <w:szCs w:val="48"/>
      <w:lang w:eastAsia="en-AU"/>
      <w14:ligatures w14:val="none"/>
    </w:rPr>
  </w:style>
  <w:style w:type="character" w:styleId="Hyperlink">
    <w:name w:val="Hyperlink"/>
    <w:basedOn w:val="DefaultParagraphFont"/>
    <w:uiPriority w:val="99"/>
    <w:semiHidden/>
    <w:unhideWhenUsed/>
    <w:rsid w:val="00D10AAD"/>
    <w:rPr>
      <w:color w:val="0000FF"/>
      <w:u w:val="single"/>
    </w:rPr>
  </w:style>
  <w:style w:type="paragraph" w:styleId="NormalWeb">
    <w:name w:val="Normal (Web)"/>
    <w:basedOn w:val="Normal"/>
    <w:uiPriority w:val="99"/>
    <w:semiHidden/>
    <w:unhideWhenUsed/>
    <w:rsid w:val="00D10AAD"/>
    <w:pPr>
      <w:spacing w:after="225"/>
    </w:pPr>
  </w:style>
  <w:style w:type="character" w:styleId="Strong">
    <w:name w:val="Strong"/>
    <w:basedOn w:val="DefaultParagraphFont"/>
    <w:uiPriority w:val="22"/>
    <w:qFormat/>
    <w:rsid w:val="00D10AAD"/>
    <w:rPr>
      <w:b/>
      <w:bCs/>
    </w:rPr>
  </w:style>
  <w:style w:type="character" w:styleId="Emphasis">
    <w:name w:val="Emphasis"/>
    <w:basedOn w:val="DefaultParagraphFont"/>
    <w:uiPriority w:val="20"/>
    <w:qFormat/>
    <w:rsid w:val="00D10A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58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3603583.ct.sendgrid.net/ls/click?upn=bQhEs-2B-2BiovnGosVuP-2B6G4IUTZU-2F-2Fq-2FzF1IPzLszgH2ZkyFRZcikBC0YrSt7Sx9CfH-2FmbMfDkrQ-2BccFH216eJ-2F6b-2F7ULs2AwIs9QbXexKnfHHqFtoQOWHUV9zNQS6KX6ibUAy7gGfI7ANNSEeCDHhzA-3D-3DtmH4_BtB82nBG9X4M93Mf7N7gjQfTHP-2BktupW-2FL8H67c74-2BP58jkis3ng9G-2FjTe-2BdtQ1pp3sBi-2Bl-2BYnzqh5fTV6QdaYSI01xaw-2F2NjwQYnV55I0JUB64ejAb9VNltu9MGZNtEqI0YeVrIXun6LypbJPeO5g5eyo7RREL2T8uQt9BEKuhEeYjTXMzdqUeKRW2I5oNl5rHydcuj29mjSNQY2rPy0w5bxjIPAJLXjm4oRYGBZFU-3D" TargetMode="External"/><Relationship Id="rId3" Type="http://schemas.openxmlformats.org/officeDocument/2006/relationships/settings" Target="settings.xml"/><Relationship Id="rId7" Type="http://schemas.openxmlformats.org/officeDocument/2006/relationships/hyperlink" Target="https://u3603583.ct.sendgrid.net/ls/click?upn=bQhEs-2B-2BiovnGosVuP-2B6G4EKIGPq1qw9D5Yp-2BJqeW-2Fc7HEjn3we2MRLpgShOIR711Cu4KFeDaaf0FDCB-2BbSQpLlhgv-2Fb1zpmSv39u1niwcBB3QM6x3sWpXDxbJABHxcV1m-2B4109qe59GxI-2FSZgPg7o35mfOWhwQxFX-2FxN5rAHfY46iA-2BEgJ2XxEoG75HEE9BZJk0AAJ6x27KclTousOCYDDxRtR8yxM1ES0VgZEfZbwzjlNsisaD4vhgbnGELgWTjr5lk8jy-2F4EADmVEw-2B4HoKqB8v-2BSDU9s5LPbeSyjy1-2BrX6xUN2JeWL8SBu-2F3rmW-2B5gOlOgbqCOvIPkvXCAYV2hcEM9vz5FMgyrDMAfDC07esTg3m4pvXRFI-2BcNViuyW4kjPIL7nX0O03F3mB2PfPLhHppMstPxj3T2nse7pNJ9zs-3D0ppT_BtB82nBG9X4M93Mf7N7gjQfTHP-2BktupW-2FL8H67c74-2BP58jkis3ng9G-2FjTe-2BdtQ1pp3sBi-2Bl-2BYnzqh5fTV6QdaT5BYFRfS7NFEgqpg0aW0eZnrMbGhMUXtp4n8mXnzp1TGepQOHPpUQIeIBQZmL38u0iBFw-2BP8XwXl14mfltyJXh1OHcw3x0pnI2XLi-2FtgCFmb1TZdZSiPwkKGVyiORhErMUD1vxH3gprUMDPqu-2B2Vzo-3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u3603583.ct.sendgrid.net/ls/click?upn=bQhEs-2B-2BiovnGosVuP-2B6G4JHPV39SuJcIYvgRucLS6noo4QDfkkTZZUC-2Br-2FdBBVqS4Kpj_BtB82nBG9X4M93Mf7N7gjQfTHP-2BktupW-2FL8H67c74-2BP58jkis3ng9G-2FjTe-2BdtQ1pp3sBi-2Bl-2BYnzqh5fTV6QdaQIlltIPA33ktzKrkTj9dAnlPMF5-2BUM4iLjVrKn0i-2BeuWmTzvrIoqSRjSQ77GEpwMoQcpH8oCqZBtZOQ8mKqmSnUtbdvDcPomyHoSGJb8A49Zw9HUoWsB6WzNi3onMDtBwD8Ugi0FjZ6WMPjfrx-2FoIQ-3D" TargetMode="External"/><Relationship Id="rId4" Type="http://schemas.openxmlformats.org/officeDocument/2006/relationships/webSettings" Target="webSettings.xml"/><Relationship Id="rId9" Type="http://schemas.openxmlformats.org/officeDocument/2006/relationships/hyperlink" Target="https://u3603583.ct.sendgrid.net/ls/click?upn=bQhEs-2B-2BiovnGosVuP-2B6G4JHPV39SuJcIYvgRucLS6npIUJyJ-2F5Ac-2BH57-2Bv3ROZTY-2B-2Bp0c4QuvE-2BQZurJSdeFb79fuI594yRNoX9DJXeVoMtNhp56arn1r6rmdqRU5Cwd3M3DYHYOz7M94OpT0-2F8ABt8gFIhprdL3CjbzRp1SEMMvxRv-2FPcH1blMxJr2PQZTaq8UENLuXjtRlzwG2WTOVQCKQYlLLSfvawyVCM5FmgIo-3DRUN3_BtB82nBG9X4M93Mf7N7gjQfTHP-2BktupW-2FL8H67c74-2BP58jkis3ng9G-2FjTe-2BdtQ1pp3sBi-2Bl-2BYnzqh5fTV6QdafolwscR-2FuKNgeT6MoIG34tEU4VU7M6WrNhHs2AeyxOZkKBQeQApti8Pe8fquHyEHGlCWQyfERXYN42vIb7x6-2Fy20Wkd8Ga0tCUG4cr7AWy-2F7mbiPYnme1TbpbsHTD3MEEqpbuCybgvAVK0-2BczJ5fgg-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995</Words>
  <Characters>5676</Characters>
  <Application>Microsoft Office Word</Application>
  <DocSecurity>0</DocSecurity>
  <Lines>47</Lines>
  <Paragraphs>13</Paragraphs>
  <ScaleCrop>false</ScaleCrop>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Brown</dc:creator>
  <cp:keywords/>
  <dc:description/>
  <cp:lastModifiedBy>Elaine Brown</cp:lastModifiedBy>
  <cp:revision>1</cp:revision>
  <dcterms:created xsi:type="dcterms:W3CDTF">2023-05-03T22:47:00Z</dcterms:created>
  <dcterms:modified xsi:type="dcterms:W3CDTF">2023-05-03T22:48:00Z</dcterms:modified>
</cp:coreProperties>
</file>